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C1376E" w:rsidP="00C1376E">
      <w:pPr>
        <w:autoSpaceDE w:val="0"/>
        <w:autoSpaceDN w:val="0"/>
        <w:adjustRightInd w:val="0"/>
        <w:jc w:val="center"/>
        <w:rPr>
          <w:rFonts w:eastAsia="Batang"/>
          <w:szCs w:val="24"/>
        </w:rPr>
      </w:pPr>
    </w:p>
    <w:p w:rsidR="00684F49" w:rsidRPr="00614D01" w:rsidRDefault="00684F49" w:rsidP="00684F49">
      <w:pPr>
        <w:autoSpaceDE w:val="0"/>
        <w:autoSpaceDN w:val="0"/>
        <w:adjustRightInd w:val="0"/>
        <w:jc w:val="both"/>
        <w:rPr>
          <w:rFonts w:eastAsia="Batang"/>
          <w:szCs w:val="24"/>
        </w:rPr>
      </w:pPr>
      <w:r w:rsidRPr="00614D01">
        <w:rPr>
          <w:rFonts w:eastAsia="Batang"/>
          <w:szCs w:val="24"/>
        </w:rPr>
        <w:t xml:space="preserve">Днес, </w:t>
      </w:r>
      <w:r w:rsidR="00212FD9">
        <w:rPr>
          <w:rFonts w:eastAsia="Batang"/>
          <w:szCs w:val="24"/>
        </w:rPr>
        <w:t>........................... 202</w:t>
      </w:r>
      <w:r w:rsidR="00212FD9" w:rsidRPr="0020207A">
        <w:rPr>
          <w:rFonts w:eastAsia="Batang"/>
          <w:szCs w:val="24"/>
        </w:rPr>
        <w:t>1</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7771B8">
        <w:rPr>
          <w:rFonts w:eastAsia="Batang"/>
          <w:b/>
          <w:bCs/>
          <w:szCs w:val="24"/>
          <w:lang w:val="en-US"/>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212FD9">
        <w:rPr>
          <w:bCs/>
          <w:szCs w:val="24"/>
          <w:lang w:eastAsia="en-US"/>
        </w:rPr>
        <w:t>№ РД-11-</w:t>
      </w:r>
      <w:r w:rsidR="0020207A">
        <w:rPr>
          <w:bCs/>
          <w:szCs w:val="24"/>
          <w:lang w:eastAsia="en-US"/>
        </w:rPr>
        <w:t>1</w:t>
      </w:r>
      <w:r w:rsidR="002E60EB">
        <w:rPr>
          <w:bCs/>
          <w:szCs w:val="24"/>
          <w:lang w:val="en-US" w:eastAsia="en-US"/>
        </w:rPr>
        <w:t>64</w:t>
      </w:r>
      <w:r w:rsidR="00684F49" w:rsidRPr="00614D01">
        <w:rPr>
          <w:bCs/>
          <w:szCs w:val="24"/>
          <w:lang w:eastAsia="en-US"/>
        </w:rPr>
        <w:t xml:space="preserve"> от </w:t>
      </w:r>
      <w:r w:rsidR="007771B8">
        <w:rPr>
          <w:bCs/>
          <w:szCs w:val="24"/>
          <w:lang w:val="en-US" w:eastAsia="en-US"/>
        </w:rPr>
        <w:t>2</w:t>
      </w:r>
      <w:r w:rsidR="00F30BF9" w:rsidRPr="00F30BF9">
        <w:rPr>
          <w:bCs/>
          <w:szCs w:val="24"/>
          <w:lang w:eastAsia="en-US"/>
        </w:rPr>
        <w:t>9</w:t>
      </w:r>
      <w:bookmarkStart w:id="0" w:name="_GoBack"/>
      <w:bookmarkEnd w:id="0"/>
      <w:r w:rsidR="00212FD9">
        <w:rPr>
          <w:bCs/>
          <w:szCs w:val="24"/>
          <w:lang w:eastAsia="en-US"/>
        </w:rPr>
        <w:t>.0</w:t>
      </w:r>
      <w:r w:rsidR="0020207A" w:rsidRPr="0020207A">
        <w:rPr>
          <w:bCs/>
          <w:szCs w:val="24"/>
          <w:lang w:eastAsia="en-US"/>
        </w:rPr>
        <w:t>3</w:t>
      </w:r>
      <w:r w:rsidR="00212FD9">
        <w:rPr>
          <w:bCs/>
          <w:szCs w:val="24"/>
          <w:lang w:eastAsia="en-US"/>
        </w:rPr>
        <w:t>.202</w:t>
      </w:r>
      <w:r w:rsidR="00212FD9" w:rsidRPr="00212FD9">
        <w:rPr>
          <w:bCs/>
          <w:szCs w:val="24"/>
          <w:lang w:eastAsia="en-US"/>
        </w:rPr>
        <w:t>1</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1439B6">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610642">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610642">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C1376E" w:rsidRPr="00983A81">
        <w:rPr>
          <w:rFonts w:eastAsia="Calibri"/>
          <w:bCs/>
          <w:szCs w:val="24"/>
          <w:lang w:eastAsia="en-US"/>
        </w:rPr>
        <w:t>Цената</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965176" w:rsidRPr="00983A81">
        <w:rPr>
          <w:rFonts w:eastAsia="Calibri"/>
          <w:b/>
          <w:bCs/>
          <w:szCs w:val="24"/>
          <w:lang w:eastAsia="en-US"/>
        </w:rPr>
        <w:t>ВЪЗЛОЖИТЕЛ</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00EE0E37" w:rsidRPr="00983A81">
        <w:rPr>
          <w:rFonts w:eastAsia="Calibri"/>
          <w:szCs w:val="24"/>
          <w:lang w:eastAsia="en-US"/>
        </w:rPr>
        <w:t>В случаите по чл. 10, ал.</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r w:rsidR="00CB4A88">
        <w:rPr>
          <w:szCs w:val="24"/>
          <w:lang w:eastAsia="en-US"/>
        </w:rPr>
        <w:t>болница</w:t>
      </w:r>
      <w:proofErr w:type="spellEnd"/>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b/>
          <w:szCs w:val="24"/>
          <w:lang w:eastAsia="en-US"/>
        </w:rPr>
        <w:t>ИЗПЪЛНИТЕЛЯТ</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D92A1E" w:rsidP="00B02121">
      <w:pPr>
        <w:jc w:val="both"/>
        <w:rPr>
          <w:rFonts w:eastAsia="Calibri"/>
          <w:bCs/>
          <w:szCs w:val="24"/>
          <w:lang w:eastAsia="en-US"/>
        </w:rPr>
      </w:pPr>
      <w:r w:rsidRPr="00983A81">
        <w:rPr>
          <w:rFonts w:eastAsia="Calibri"/>
          <w:b/>
        </w:rPr>
        <w:t>(4)</w:t>
      </w:r>
      <w:r w:rsidRPr="00983A81">
        <w:rPr>
          <w:rFonts w:eastAsia="Calibri"/>
        </w:rPr>
        <w:t xml:space="preserve"> Остатъчният срок на годност на биопродукт </w:t>
      </w:r>
      <w:r w:rsidR="0094187F" w:rsidRPr="00983A81">
        <w:rPr>
          <w:rFonts w:eastAsia="Calibri"/>
        </w:rPr>
        <w:t>/</w:t>
      </w:r>
      <w:r w:rsidRPr="00983A81">
        <w:rPr>
          <w:rFonts w:eastAsia="Calibri"/>
        </w:rPr>
        <w:t>биоподобен продукт</w:t>
      </w:r>
      <w:r w:rsidR="006C2A9B" w:rsidRPr="00983A81">
        <w:rPr>
          <w:rFonts w:eastAsia="Calibri"/>
        </w:rPr>
        <w:t xml:space="preserve">, следва да бъде не по–малък </w:t>
      </w:r>
      <w:r w:rsidR="00565F88"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A15CC8" w:rsidP="00B02121">
      <w:pPr>
        <w:jc w:val="both"/>
        <w:rPr>
          <w:rFonts w:eastAsia="Calibri"/>
          <w:b/>
          <w:szCs w:val="24"/>
          <w:lang w:eastAsia="en-US"/>
        </w:rPr>
      </w:pPr>
      <w:r w:rsidRPr="00983A81">
        <w:rPr>
          <w:rFonts w:eastAsia="Calibri"/>
          <w:b/>
          <w:szCs w:val="24"/>
          <w:lang w:eastAsia="en-US"/>
        </w:rPr>
        <w:t>(</w:t>
      </w:r>
      <w:r w:rsidR="00D92A1E" w:rsidRPr="00983A81">
        <w:rPr>
          <w:rFonts w:eastAsia="Calibri"/>
          <w:b/>
          <w:szCs w:val="24"/>
          <w:lang w:eastAsia="en-US"/>
        </w:rPr>
        <w:t>6</w:t>
      </w:r>
      <w:r w:rsidRPr="00983A81">
        <w:rPr>
          <w:rFonts w:eastAsia="Calibri"/>
          <w:b/>
          <w:szCs w:val="24"/>
          <w:lang w:eastAsia="en-US"/>
        </w:rPr>
        <w:t>)</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43C95"/>
    <w:rsid w:val="000B38CD"/>
    <w:rsid w:val="000D038A"/>
    <w:rsid w:val="000D3043"/>
    <w:rsid w:val="0012419D"/>
    <w:rsid w:val="001439B6"/>
    <w:rsid w:val="001A4140"/>
    <w:rsid w:val="001C06E0"/>
    <w:rsid w:val="001C39DF"/>
    <w:rsid w:val="001D4091"/>
    <w:rsid w:val="0020207A"/>
    <w:rsid w:val="00212FD9"/>
    <w:rsid w:val="00235B9F"/>
    <w:rsid w:val="002B7B47"/>
    <w:rsid w:val="002D26B1"/>
    <w:rsid w:val="002E60EB"/>
    <w:rsid w:val="00302DA0"/>
    <w:rsid w:val="00307C5B"/>
    <w:rsid w:val="00365AD7"/>
    <w:rsid w:val="00371A31"/>
    <w:rsid w:val="00397FCB"/>
    <w:rsid w:val="003A24A2"/>
    <w:rsid w:val="003C334D"/>
    <w:rsid w:val="003D21CF"/>
    <w:rsid w:val="003E141C"/>
    <w:rsid w:val="003F2FE9"/>
    <w:rsid w:val="00400C8F"/>
    <w:rsid w:val="00447559"/>
    <w:rsid w:val="00456EAE"/>
    <w:rsid w:val="00477FEF"/>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771B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CC7BF0"/>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0BF9"/>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67C5-E7D8-401B-A121-453E81CE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3361</Words>
  <Characters>19159</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10</cp:revision>
  <cp:lastPrinted>2019-09-24T09:42:00Z</cp:lastPrinted>
  <dcterms:created xsi:type="dcterms:W3CDTF">2020-08-10T09:30:00Z</dcterms:created>
  <dcterms:modified xsi:type="dcterms:W3CDTF">2021-04-01T07:53:00Z</dcterms:modified>
</cp:coreProperties>
</file>